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5B86" w:rsidRDefault="004D5B86">
      <w:pPr>
        <w:widowControl w:val="0"/>
        <w:spacing w:line="240" w:lineRule="auto"/>
        <w:jc w:val="both"/>
        <w:rPr>
          <w:rFonts w:ascii="游明朝" w:eastAsia="游明朝" w:hAnsi="游明朝" w:cs="游明朝"/>
          <w:sz w:val="25"/>
          <w:szCs w:val="25"/>
        </w:rPr>
      </w:pPr>
    </w:p>
    <w:p w14:paraId="00000002" w14:textId="77777777" w:rsidR="004D5B86" w:rsidRDefault="00BE0CDA">
      <w:pPr>
        <w:widowControl w:val="0"/>
        <w:spacing w:line="240" w:lineRule="auto"/>
        <w:jc w:val="center"/>
        <w:rPr>
          <w:rFonts w:ascii="游明朝" w:eastAsia="游明朝" w:hAnsi="游明朝" w:cs="游明朝"/>
          <w:b/>
          <w:sz w:val="27"/>
          <w:szCs w:val="27"/>
        </w:rPr>
      </w:pPr>
      <w:r>
        <w:rPr>
          <w:rFonts w:ascii="游明朝" w:eastAsia="游明朝" w:hAnsi="游明朝" w:cs="游明朝"/>
          <w:b/>
          <w:sz w:val="27"/>
          <w:szCs w:val="27"/>
        </w:rPr>
        <w:t>事前課題</w:t>
      </w:r>
    </w:p>
    <w:p w14:paraId="00000003" w14:textId="77777777" w:rsidR="004D5B86" w:rsidRDefault="004D5B86">
      <w:pPr>
        <w:widowControl w:val="0"/>
        <w:spacing w:line="240" w:lineRule="auto"/>
        <w:jc w:val="center"/>
        <w:rPr>
          <w:rFonts w:ascii="游明朝" w:eastAsia="游明朝" w:hAnsi="游明朝" w:cs="游明朝"/>
          <w:b/>
          <w:sz w:val="25"/>
          <w:szCs w:val="25"/>
        </w:rPr>
      </w:pPr>
    </w:p>
    <w:p w14:paraId="00000004" w14:textId="77777777" w:rsidR="004D5B86" w:rsidRDefault="00BE0CDA">
      <w:pPr>
        <w:widowControl w:val="0"/>
        <w:spacing w:line="240" w:lineRule="auto"/>
        <w:rPr>
          <w:rFonts w:ascii="游明朝" w:eastAsia="游明朝" w:hAnsi="游明朝" w:cs="游明朝"/>
          <w:sz w:val="21"/>
          <w:szCs w:val="21"/>
        </w:rPr>
      </w:pPr>
      <w:r>
        <w:rPr>
          <w:rFonts w:ascii="游明朝" w:eastAsia="游明朝" w:hAnsi="游明朝" w:cs="游明朝"/>
          <w:sz w:val="21"/>
          <w:szCs w:val="21"/>
        </w:rPr>
        <w:t>・黄色ハイライト部の訳出をお願いいたします。</w:t>
      </w:r>
    </w:p>
    <w:p w14:paraId="00000005" w14:textId="77777777" w:rsidR="004D5B86" w:rsidRDefault="00BE0CDA">
      <w:pPr>
        <w:widowControl w:val="0"/>
        <w:spacing w:line="240" w:lineRule="auto"/>
        <w:rPr>
          <w:rFonts w:ascii="游明朝" w:eastAsia="游明朝" w:hAnsi="游明朝" w:cs="游明朝"/>
          <w:sz w:val="21"/>
          <w:szCs w:val="21"/>
        </w:rPr>
      </w:pPr>
      <w:r>
        <w:rPr>
          <w:rFonts w:ascii="游明朝" w:eastAsia="游明朝" w:hAnsi="游明朝" w:cs="游明朝"/>
          <w:sz w:val="21"/>
          <w:szCs w:val="21"/>
        </w:rPr>
        <w:t>・出願番号が記載されていない課題について、本資料に記載された情報以外に参照すべき情報は用意していません。本資料の記載に基づき訳出なさって下さい。</w:t>
      </w:r>
    </w:p>
    <w:p w14:paraId="00000006" w14:textId="60B78371" w:rsidR="004D5B86" w:rsidRDefault="00BE0CDA">
      <w:pPr>
        <w:widowControl w:val="0"/>
        <w:spacing w:line="240" w:lineRule="auto"/>
        <w:rPr>
          <w:rFonts w:ascii="游明朝" w:eastAsia="游明朝" w:hAnsi="游明朝" w:cs="游明朝"/>
          <w:sz w:val="21"/>
          <w:szCs w:val="21"/>
        </w:rPr>
      </w:pPr>
      <w:r>
        <w:rPr>
          <w:rFonts w:ascii="游明朝" w:eastAsia="游明朝" w:hAnsi="游明朝" w:cs="游明朝"/>
          <w:sz w:val="21"/>
          <w:szCs w:val="21"/>
        </w:rPr>
        <w:t>・可能であれば、ご解答を10月14日までに協会へお送り下さい。</w:t>
      </w:r>
      <w:r w:rsidR="007743B2">
        <w:rPr>
          <w:rFonts w:ascii="游明朝" w:eastAsia="游明朝" w:hAnsi="游明朝" w:cs="游明朝" w:hint="eastAsia"/>
          <w:sz w:val="21"/>
          <w:szCs w:val="21"/>
        </w:rPr>
        <w:t>（宛先：</w:t>
      </w:r>
      <w:r w:rsidR="007743B2" w:rsidRPr="00C706D3">
        <w:rPr>
          <w:rFonts w:ascii="游明朝" w:eastAsia="游明朝" w:hAnsi="游明朝" w:cs="游明朝"/>
          <w:sz w:val="21"/>
          <w:szCs w:val="21"/>
        </w:rPr>
        <w:t>pct_translation@jiii.or.jp</w:t>
      </w:r>
      <w:r w:rsidR="007743B2">
        <w:rPr>
          <w:rFonts w:ascii="游明朝" w:eastAsia="游明朝" w:hAnsi="游明朝" w:cs="游明朝" w:hint="eastAsia"/>
          <w:sz w:val="21"/>
          <w:szCs w:val="21"/>
        </w:rPr>
        <w:t xml:space="preserve">　）</w:t>
      </w:r>
    </w:p>
    <w:p w14:paraId="00000007" w14:textId="77777777" w:rsidR="004D5B86" w:rsidRDefault="004D5B86">
      <w:pPr>
        <w:widowControl w:val="0"/>
        <w:spacing w:line="240" w:lineRule="auto"/>
        <w:jc w:val="both"/>
        <w:rPr>
          <w:rFonts w:ascii="游明朝" w:eastAsia="游明朝" w:hAnsi="游明朝" w:cs="游明朝"/>
          <w:sz w:val="21"/>
          <w:szCs w:val="21"/>
        </w:rPr>
      </w:pPr>
    </w:p>
    <w:p w14:paraId="00000008" w14:textId="77777777" w:rsidR="004D5B86" w:rsidRDefault="00BE0CDA">
      <w:pPr>
        <w:widowControl w:val="0"/>
        <w:spacing w:line="240" w:lineRule="auto"/>
        <w:jc w:val="both"/>
        <w:rPr>
          <w:rFonts w:ascii="游明朝" w:eastAsia="游明朝" w:hAnsi="游明朝" w:cs="游明朝"/>
          <w:b/>
          <w:sz w:val="25"/>
          <w:szCs w:val="25"/>
          <w:u w:val="single"/>
        </w:rPr>
      </w:pPr>
      <w:r>
        <w:rPr>
          <w:rFonts w:ascii="游明朝" w:eastAsia="游明朝" w:hAnsi="游明朝" w:cs="游明朝"/>
          <w:b/>
          <w:sz w:val="25"/>
          <w:szCs w:val="25"/>
          <w:u w:val="single"/>
        </w:rPr>
        <w:t>①特許法の観点から</w:t>
      </w:r>
    </w:p>
    <w:p w14:paraId="00000009" w14:textId="77777777" w:rsidR="004D5B86" w:rsidRDefault="004D5B86">
      <w:pPr>
        <w:widowControl w:val="0"/>
        <w:spacing w:line="240" w:lineRule="auto"/>
        <w:jc w:val="both"/>
        <w:rPr>
          <w:rFonts w:ascii="游明朝" w:eastAsia="游明朝" w:hAnsi="游明朝" w:cs="游明朝"/>
          <w:b/>
          <w:sz w:val="21"/>
          <w:szCs w:val="21"/>
        </w:rPr>
      </w:pPr>
    </w:p>
    <w:p w14:paraId="0000000A" w14:textId="77777777" w:rsidR="004D5B86" w:rsidRDefault="00BE0CDA">
      <w:pPr>
        <w:widowControl w:val="0"/>
        <w:spacing w:line="240" w:lineRule="auto"/>
        <w:jc w:val="both"/>
        <w:rPr>
          <w:rFonts w:ascii="游明朝" w:eastAsia="游明朝" w:hAnsi="游明朝" w:cs="游明朝"/>
          <w:b/>
          <w:sz w:val="21"/>
          <w:szCs w:val="21"/>
          <w:shd w:val="clear" w:color="auto" w:fill="F4CCCC"/>
        </w:rPr>
      </w:pPr>
      <w:r>
        <w:rPr>
          <w:rFonts w:ascii="游明朝" w:eastAsia="游明朝" w:hAnsi="游明朝" w:cs="游明朝"/>
          <w:b/>
          <w:sz w:val="21"/>
          <w:szCs w:val="21"/>
          <w:highlight w:val="white"/>
        </w:rPr>
        <w:t>【課題１】</w:t>
      </w:r>
      <w:bookmarkStart w:id="0" w:name="_GoBack"/>
      <w:bookmarkEnd w:id="0"/>
    </w:p>
    <w:p w14:paraId="0000000B"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＜審査官による見解＞</w:t>
      </w:r>
    </w:p>
    <w:p w14:paraId="0000000C" w14:textId="77777777" w:rsidR="004D5B86" w:rsidRDefault="004D5B86">
      <w:pPr>
        <w:widowControl w:val="0"/>
        <w:spacing w:line="240" w:lineRule="auto"/>
        <w:jc w:val="both"/>
        <w:rPr>
          <w:rFonts w:ascii="游明朝" w:eastAsia="游明朝" w:hAnsi="游明朝" w:cs="游明朝"/>
          <w:sz w:val="21"/>
          <w:szCs w:val="21"/>
        </w:rPr>
      </w:pPr>
    </w:p>
    <w:p w14:paraId="0000000D"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請求項1～12に記載された発明は文献1～3に対し新規性・進歩性を有する。</w:t>
      </w:r>
    </w:p>
    <w:p w14:paraId="0000000E"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請求項1～12に記載された「発酵工程の前に冷却工程を行う」点は文献1～3に記載されておらず、当該点による、乳製品の風味やテクスチャ―が改善するという顕著な効果は当業者といえども予測できるものではないため、請求項1～12に記載された発明は容易に想到し得ない。</w:t>
      </w:r>
    </w:p>
    <w:p w14:paraId="0000000F" w14:textId="77777777" w:rsidR="004D5B86" w:rsidRDefault="004D5B86">
      <w:pPr>
        <w:widowControl w:val="0"/>
        <w:spacing w:line="240" w:lineRule="auto"/>
        <w:jc w:val="both"/>
        <w:rPr>
          <w:rFonts w:ascii="游明朝" w:eastAsia="游明朝" w:hAnsi="游明朝" w:cs="游明朝"/>
          <w:sz w:val="21"/>
          <w:szCs w:val="21"/>
        </w:rPr>
      </w:pPr>
    </w:p>
    <w:p w14:paraId="00000010" w14:textId="77777777" w:rsidR="004D5B86" w:rsidRDefault="004D5B86">
      <w:pPr>
        <w:widowControl w:val="0"/>
        <w:spacing w:line="240" w:lineRule="auto"/>
        <w:jc w:val="both"/>
        <w:rPr>
          <w:rFonts w:ascii="游明朝" w:eastAsia="游明朝" w:hAnsi="游明朝" w:cs="游明朝"/>
          <w:sz w:val="21"/>
          <w:szCs w:val="21"/>
        </w:rPr>
      </w:pPr>
    </w:p>
    <w:p w14:paraId="00000011"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b/>
          <w:sz w:val="21"/>
          <w:szCs w:val="21"/>
        </w:rPr>
        <w:t>【課題２】</w:t>
      </w:r>
    </w:p>
    <w:p w14:paraId="00000012"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PCT/JP2020/002849</w:t>
      </w:r>
    </w:p>
    <w:p w14:paraId="00000013" w14:textId="77777777" w:rsidR="004D5B86" w:rsidRDefault="004D5B86">
      <w:pPr>
        <w:widowControl w:val="0"/>
        <w:spacing w:line="240" w:lineRule="auto"/>
        <w:jc w:val="both"/>
        <w:rPr>
          <w:rFonts w:ascii="游明朝" w:eastAsia="游明朝" w:hAnsi="游明朝" w:cs="游明朝"/>
          <w:sz w:val="21"/>
          <w:szCs w:val="21"/>
        </w:rPr>
      </w:pPr>
    </w:p>
    <w:p w14:paraId="00000014"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＜本願請求項１に記載の発明＞</w:t>
      </w:r>
    </w:p>
    <w:p w14:paraId="00000015"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通信光を発光させる発光素子と、</w:t>
      </w:r>
    </w:p>
    <w:p w14:paraId="00000016"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水中に配設され、前記通信光を入光させる入光端部を有しており前記入光端部に入光された前記通信光を先端部に向けて伝送させる光ファイバと、</w:t>
      </w:r>
    </w:p>
    <w:p w14:paraId="00000017"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を備え、</w:t>
      </w:r>
    </w:p>
    <w:p w14:paraId="00000018"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前記光ファイバは、</w:t>
      </w:r>
    </w:p>
    <w:p w14:paraId="00000019"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前記通信光を前記入光端部から前記先端部に向けて伝送させるコア部と、</w:t>
      </w:r>
    </w:p>
    <w:p w14:paraId="0000001A"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前記コア部を被覆しており、前記コア部を伝送する前記通信光の少なくとも一部を前記光ファイバの側面から出光させるクラッド部と、</w:t>
      </w:r>
    </w:p>
    <w:p w14:paraId="0000001B"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を備える水中光通信装置。</w:t>
      </w:r>
    </w:p>
    <w:p w14:paraId="0000001C" w14:textId="77777777" w:rsidR="004D5B86" w:rsidRDefault="004D5B86">
      <w:pPr>
        <w:widowControl w:val="0"/>
        <w:spacing w:line="240" w:lineRule="auto"/>
        <w:jc w:val="both"/>
        <w:rPr>
          <w:rFonts w:ascii="游明朝" w:eastAsia="游明朝" w:hAnsi="游明朝" w:cs="游明朝"/>
          <w:sz w:val="21"/>
          <w:szCs w:val="21"/>
        </w:rPr>
      </w:pPr>
    </w:p>
    <w:p w14:paraId="0000001D"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＜審査官による見解＞</w:t>
      </w:r>
    </w:p>
    <w:p w14:paraId="0000001E"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請求項１に係る発明は、国際調査報告で引用された文献１－４により進歩性を有しない。 </w:t>
      </w:r>
    </w:p>
    <w:p w14:paraId="0000001F"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文献１には、段落0035,図1等を参照すると、文献１に記載された発明における「光信号」、「第１発光素子」は、それぞれ本願発明の「通信光」、「発光素子」に対応する。また、文献１に記載された発明における「第１光ファイバ」は、本願発明の「前記通信光を入光させる入光端部を有しており前記入光端部に入光された前記通信光を先端部に向けて伝送」させ、「前記通信光を前記入光端部から前記先端部に向けて伝送」させ、「前記通信光の少なくとも一部を前記光ファイバの側面から出光」させる「光ファイバ」に対応する。 </w:t>
      </w:r>
    </w:p>
    <w:p w14:paraId="00000020"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当該光ファイバを備える装置が「水中に配設」されることは、例えば、文献２（請求項1,18,33,第65頁第3-10行等を参照）に開示されているように周知技術である。 </w:t>
      </w:r>
    </w:p>
    <w:p w14:paraId="00000021"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lastRenderedPageBreak/>
        <w:t xml:space="preserve">一方、当該光ファイバが通信光を入光端部から先端部に向けて伝送させるコア部と、コア部を被覆しており、コア部を伝送する通信光の少なくとも一部を光ファイバの側面から出光させるクラッド部と、を備えることは、例えば、文献３（段落0014-0018,図1等を参照）、及び、文献４（段落0010,0017,0025,図2,4-5等を参照）に開示されているように周知技術である。 </w:t>
      </w:r>
    </w:p>
    <w:p w14:paraId="00000022"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したがって、請求項１に係る発明のごとく構成するため、文献１に記載された発明においてこの周知技術を適用することは、当業者が容易に想到し得たことである。</w:t>
      </w:r>
    </w:p>
    <w:p w14:paraId="00000023" w14:textId="77777777" w:rsidR="004D5B86" w:rsidRDefault="004D5B86">
      <w:pPr>
        <w:widowControl w:val="0"/>
        <w:spacing w:line="240" w:lineRule="auto"/>
        <w:jc w:val="both"/>
        <w:rPr>
          <w:rFonts w:ascii="游明朝" w:eastAsia="游明朝" w:hAnsi="游明朝" w:cs="游明朝"/>
          <w:color w:val="0000FF"/>
          <w:sz w:val="21"/>
          <w:szCs w:val="21"/>
        </w:rPr>
      </w:pPr>
    </w:p>
    <w:p w14:paraId="00000024" w14:textId="77777777" w:rsidR="004D5B86" w:rsidRDefault="004D5B86">
      <w:pPr>
        <w:widowControl w:val="0"/>
        <w:spacing w:line="240" w:lineRule="auto"/>
        <w:jc w:val="both"/>
        <w:rPr>
          <w:rFonts w:ascii="游明朝" w:eastAsia="游明朝" w:hAnsi="游明朝" w:cs="游明朝"/>
          <w:sz w:val="21"/>
          <w:szCs w:val="21"/>
        </w:rPr>
      </w:pPr>
    </w:p>
    <w:p w14:paraId="00000025" w14:textId="77777777" w:rsidR="004D5B86" w:rsidRDefault="00BE0CDA">
      <w:pPr>
        <w:widowControl w:val="0"/>
        <w:spacing w:line="240" w:lineRule="auto"/>
        <w:jc w:val="both"/>
        <w:rPr>
          <w:rFonts w:ascii="游明朝" w:eastAsia="游明朝" w:hAnsi="游明朝" w:cs="游明朝"/>
          <w:b/>
          <w:sz w:val="21"/>
          <w:szCs w:val="21"/>
          <w:shd w:val="clear" w:color="auto" w:fill="F4CCCC"/>
        </w:rPr>
      </w:pPr>
      <w:r>
        <w:rPr>
          <w:rFonts w:ascii="游明朝" w:eastAsia="游明朝" w:hAnsi="游明朝" w:cs="游明朝"/>
          <w:b/>
          <w:sz w:val="21"/>
          <w:szCs w:val="21"/>
        </w:rPr>
        <w:t>【課題３】</w:t>
      </w:r>
    </w:p>
    <w:p w14:paraId="00000026"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＜審査官による見解＞</w:t>
      </w:r>
    </w:p>
    <w:p w14:paraId="00000027" w14:textId="77777777" w:rsidR="004D5B86" w:rsidRDefault="004D5B86">
      <w:pPr>
        <w:widowControl w:val="0"/>
        <w:spacing w:line="240" w:lineRule="auto"/>
        <w:jc w:val="both"/>
        <w:rPr>
          <w:rFonts w:ascii="游明朝" w:eastAsia="游明朝" w:hAnsi="游明朝" w:cs="游明朝"/>
          <w:sz w:val="21"/>
          <w:szCs w:val="21"/>
        </w:rPr>
      </w:pPr>
    </w:p>
    <w:p w14:paraId="00000028"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請求項1、2、4に係る発明は、国際調査報告で引用された文献1-2より進歩性を有しない。 </w:t>
      </w:r>
    </w:p>
    <w:p w14:paraId="00000029" w14:textId="77777777" w:rsidR="004D5B86" w:rsidRDefault="004D5B86">
      <w:pPr>
        <w:widowControl w:val="0"/>
        <w:spacing w:line="240" w:lineRule="auto"/>
        <w:jc w:val="both"/>
        <w:rPr>
          <w:rFonts w:ascii="游明朝" w:eastAsia="游明朝" w:hAnsi="游明朝" w:cs="游明朝"/>
          <w:sz w:val="21"/>
          <w:szCs w:val="21"/>
        </w:rPr>
      </w:pPr>
    </w:p>
    <w:p w14:paraId="0000002A"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文献1に記載された「基板１１」、「第１光反射層５１」、「第１化合物半導体層３１」、および「活性層２３」は、請求項1に係る発明における「半導体基板」、「第１の多層膜反射鏡」、「第１の半導体層」、および「活性層」に、それぞれ相当する。 </w:t>
      </w:r>
    </w:p>
    <w:p w14:paraId="0000002B"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そして、文献1に記載された発明は、請求項1に規定された「複数の凹構造」を備えるものでない点で、請求項1に係る発明と相違する。 </w:t>
      </w:r>
    </w:p>
    <w:p w14:paraId="0000002C"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しかしながら、文献2には、容量を低減するために、絶縁溝(請求項1に係る発明における「複数の凹構造」に相当する。)を設けることが、記載されている。 </w:t>
      </w:r>
    </w:p>
    <w:p w14:paraId="0000002D"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 xml:space="preserve">　したがって、文献1に記載された発明に、文献2に記載された上記の事項を適用することにより、請求項1に係る発明の構成とすることは、当業者が容易に想到し得ることである。 </w:t>
      </w:r>
    </w:p>
    <w:p w14:paraId="0000002E"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rPr>
        <w:t xml:space="preserve">　</w:t>
      </w:r>
      <w:r>
        <w:rPr>
          <w:rFonts w:ascii="游明朝" w:eastAsia="游明朝" w:hAnsi="游明朝" w:cs="游明朝"/>
          <w:sz w:val="21"/>
          <w:szCs w:val="21"/>
          <w:highlight w:val="yellow"/>
        </w:rPr>
        <w:t>また、文献2の段落43～45の記載および図1に示されたもの（絶縁溝が線対称性をもって配置されていることは明らか）から、上記の適用により、請求項2に規定された、凹構造の配置が線対称性を有するとの限定事項を備えるものとすることは、格別困難ではない。</w:t>
      </w:r>
      <w:r>
        <w:rPr>
          <w:rFonts w:ascii="游明朝" w:eastAsia="游明朝" w:hAnsi="游明朝" w:cs="游明朝"/>
          <w:sz w:val="21"/>
          <w:szCs w:val="21"/>
          <w:highlight w:val="white"/>
        </w:rPr>
        <w:t xml:space="preserve"> </w:t>
      </w:r>
    </w:p>
    <w:p w14:paraId="0000002F"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white"/>
        </w:rPr>
        <w:t xml:space="preserve">　</w:t>
      </w:r>
      <w:r>
        <w:rPr>
          <w:rFonts w:ascii="游明朝" w:eastAsia="游明朝" w:hAnsi="游明朝" w:cs="游明朝"/>
          <w:sz w:val="21"/>
          <w:szCs w:val="21"/>
          <w:highlight w:val="yellow"/>
        </w:rPr>
        <w:t>また、上記の適用に際して、請求項4に規定された限定事項を備えるものとすることは、所望により選択し得ることである。</w:t>
      </w:r>
    </w:p>
    <w:p w14:paraId="00000030" w14:textId="77777777" w:rsidR="004D5B86" w:rsidRDefault="004D5B86">
      <w:pPr>
        <w:widowControl w:val="0"/>
        <w:spacing w:line="240" w:lineRule="auto"/>
        <w:jc w:val="both"/>
        <w:rPr>
          <w:rFonts w:ascii="游明朝" w:eastAsia="游明朝" w:hAnsi="游明朝" w:cs="游明朝"/>
          <w:sz w:val="21"/>
          <w:szCs w:val="21"/>
          <w:highlight w:val="white"/>
        </w:rPr>
      </w:pPr>
    </w:p>
    <w:p w14:paraId="00000031" w14:textId="77777777" w:rsidR="004D5B86" w:rsidRDefault="004D5B86">
      <w:pPr>
        <w:widowControl w:val="0"/>
        <w:spacing w:line="240" w:lineRule="auto"/>
        <w:jc w:val="both"/>
        <w:rPr>
          <w:rFonts w:ascii="游明朝" w:eastAsia="游明朝" w:hAnsi="游明朝" w:cs="游明朝"/>
          <w:sz w:val="21"/>
          <w:szCs w:val="21"/>
          <w:highlight w:val="white"/>
        </w:rPr>
      </w:pPr>
    </w:p>
    <w:p w14:paraId="00000032" w14:textId="77777777" w:rsidR="004D5B86" w:rsidRDefault="00BE0CDA">
      <w:pPr>
        <w:widowControl w:val="0"/>
        <w:spacing w:line="240" w:lineRule="auto"/>
        <w:jc w:val="both"/>
        <w:rPr>
          <w:rFonts w:ascii="游明朝" w:eastAsia="游明朝" w:hAnsi="游明朝" w:cs="游明朝"/>
          <w:b/>
          <w:sz w:val="21"/>
          <w:szCs w:val="21"/>
          <w:highlight w:val="white"/>
        </w:rPr>
      </w:pPr>
      <w:r>
        <w:rPr>
          <w:rFonts w:ascii="游明朝" w:eastAsia="游明朝" w:hAnsi="游明朝" w:cs="游明朝"/>
          <w:b/>
          <w:sz w:val="21"/>
          <w:szCs w:val="21"/>
          <w:highlight w:val="white"/>
        </w:rPr>
        <w:t>【課題４】</w:t>
      </w:r>
    </w:p>
    <w:p w14:paraId="00000033" w14:textId="77777777" w:rsidR="004D5B86" w:rsidRDefault="00BE0CDA">
      <w:pPr>
        <w:widowControl w:val="0"/>
        <w:spacing w:line="240" w:lineRule="auto"/>
        <w:jc w:val="both"/>
        <w:rPr>
          <w:rFonts w:ascii="游明朝" w:eastAsia="游明朝" w:hAnsi="游明朝" w:cs="游明朝"/>
          <w:b/>
          <w:sz w:val="21"/>
          <w:szCs w:val="21"/>
          <w:highlight w:val="white"/>
        </w:rPr>
      </w:pPr>
      <w:r>
        <w:rPr>
          <w:rFonts w:ascii="游明朝" w:eastAsia="游明朝" w:hAnsi="游明朝" w:cs="游明朝"/>
          <w:sz w:val="21"/>
          <w:szCs w:val="21"/>
          <w:highlight w:val="white"/>
        </w:rPr>
        <w:t>PCT/JP2021/007975</w:t>
      </w:r>
    </w:p>
    <w:p w14:paraId="00000034"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＜文献および審査官による見解＞</w:t>
      </w:r>
    </w:p>
    <w:p w14:paraId="00000035" w14:textId="77777777" w:rsidR="004D5B86" w:rsidRDefault="004D5B86">
      <w:pPr>
        <w:widowControl w:val="0"/>
        <w:spacing w:line="240" w:lineRule="auto"/>
        <w:jc w:val="both"/>
        <w:rPr>
          <w:rFonts w:ascii="游明朝" w:eastAsia="游明朝" w:hAnsi="游明朝" w:cs="游明朝"/>
          <w:sz w:val="21"/>
          <w:szCs w:val="21"/>
          <w:highlight w:val="white"/>
        </w:rPr>
      </w:pPr>
    </w:p>
    <w:p w14:paraId="00000036"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文献１：JP 11-51823 A (株式会社日立製作所) 26.02.1999(1999-02-26), 段落[0026]-[0037],図１（ファミリーなし） </w:t>
      </w:r>
    </w:p>
    <w:p w14:paraId="00000037"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文献２：JP 2017-154091 A (パナソニックＩＰマネジメント株式会社) 07.09.2017(2017-09-07), 段落[0011]-[0050],図１（ファミリーなし） </w:t>
      </w:r>
    </w:p>
    <w:p w14:paraId="00000038"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文献３：JP 2005-279562 A (株式会社デンソー) 13.10.2005(2005-10-13), 段落[0013]-[0018],図１（ファミリーなし） </w:t>
      </w:r>
    </w:p>
    <w:p w14:paraId="00000039"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文献４：JP 2008-261441 A (ＮＯＫ株式会社) 30.10.2008(2008-10-30), 段落[0003]-[0014]（ファミリーなし） </w:t>
      </w:r>
    </w:p>
    <w:p w14:paraId="0000003A"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文献５：JP 7-292745 A (松下電器産業株式会社) 07.11.1995(1995-11-07), 段落[0023]（ファミリーなし） </w:t>
      </w:r>
    </w:p>
    <w:p w14:paraId="0000003B"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文献６：JP 2018-15738 A (パナソニックＩＰマネジメント株式会社) 01.02.2018(2018-02-01), 段落[0028]（ファミリーなし） </w:t>
      </w:r>
    </w:p>
    <w:p w14:paraId="0000003C"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lastRenderedPageBreak/>
        <w:t xml:space="preserve">文献７：JP 2017-176975 A (東芝三菱電機産業システム株式会社) 05.10.2017(2017-10-05), 段落[0014]（ファミリーなし） </w:t>
      </w:r>
    </w:p>
    <w:p w14:paraId="0000003D" w14:textId="77777777" w:rsidR="004D5B86" w:rsidRDefault="004D5B86">
      <w:pPr>
        <w:widowControl w:val="0"/>
        <w:spacing w:line="240" w:lineRule="auto"/>
        <w:jc w:val="both"/>
        <w:rPr>
          <w:rFonts w:ascii="游明朝" w:eastAsia="游明朝" w:hAnsi="游明朝" w:cs="游明朝"/>
          <w:sz w:val="21"/>
          <w:szCs w:val="21"/>
          <w:highlight w:val="white"/>
        </w:rPr>
      </w:pPr>
    </w:p>
    <w:p w14:paraId="0000003E"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（１）文献１を主引例とする場合 </w:t>
      </w:r>
    </w:p>
    <w:p w14:paraId="0000003F" w14:textId="77777777" w:rsidR="004D5B86" w:rsidRDefault="004D5B86">
      <w:pPr>
        <w:widowControl w:val="0"/>
        <w:spacing w:line="240" w:lineRule="auto"/>
        <w:jc w:val="both"/>
        <w:rPr>
          <w:rFonts w:ascii="游明朝" w:eastAsia="游明朝" w:hAnsi="游明朝" w:cs="游明朝"/>
          <w:sz w:val="21"/>
          <w:szCs w:val="21"/>
          <w:highlight w:val="white"/>
        </w:rPr>
      </w:pPr>
    </w:p>
    <w:p w14:paraId="00000040"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ア．本願の請求項１－９に係る発明は、国際調査報告で引用された文献１、４－５により進歩性を有しない。 </w:t>
      </w:r>
    </w:p>
    <w:p w14:paraId="00000041"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＜請求項１、９について＞ </w:t>
      </w:r>
    </w:p>
    <w:p w14:paraId="00000042"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文献１（特に、段落[0026]-[0037],図１を参照）には、 </w:t>
      </w:r>
    </w:p>
    <w:p w14:paraId="00000043"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「液体と気体とを混合して前記液体を微粒子化したミストを噴霧する二流体ノズル（２流体ノズル２）と、 </w:t>
      </w:r>
    </w:p>
    <w:p w14:paraId="00000044"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前記二流体ノズルに前記気体を供給する噴霧装置側気体流路（空気圧縮機４から２流体ノズル２までの流路；図１を参照）と、 </w:t>
      </w:r>
    </w:p>
    <w:p w14:paraId="00000045"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前記噴霧装置側気体流路に前記気体を供給する気体供給源（空気圧縮機４）と、 </w:t>
      </w:r>
    </w:p>
    <w:p w14:paraId="00000046"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前記二流体ノズルに前記液体を供給する噴霧装置側液体流路（水タンク８から２流体ノズル２までの流路；図１を参照）と、 </w:t>
      </w:r>
    </w:p>
    <w:p w14:paraId="00000047"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前記噴霧装置側気体流路に前記液体を供給する液体供給源（水タンク８）と、 </w:t>
      </w:r>
    </w:p>
    <w:p w14:paraId="00000048"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前記二流体ノズルと前記液体供給源との間の前記噴霧装置側液体流路に設置された液体流量調整弁（水圧調整弁１１）と、 </w:t>
      </w:r>
    </w:p>
    <w:p w14:paraId="00000049"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前記液体流量調整弁の前記弁開度を前記二流体ノズルから噴霧する前記ミストのミスト濃度を多段階で調整する制御部（演算器１９;段落[0031]を参照）と、を備える、 </w:t>
      </w:r>
    </w:p>
    <w:p w14:paraId="0000004A"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噴霧装置及び噴霧方法」 の発明が記載されている。 </w:t>
      </w:r>
    </w:p>
    <w:p w14:paraId="0000004B" w14:textId="77777777" w:rsidR="004D5B86" w:rsidRDefault="004D5B86">
      <w:pPr>
        <w:widowControl w:val="0"/>
        <w:spacing w:line="240" w:lineRule="auto"/>
        <w:jc w:val="both"/>
        <w:rPr>
          <w:rFonts w:ascii="游明朝" w:eastAsia="游明朝" w:hAnsi="游明朝" w:cs="游明朝"/>
          <w:sz w:val="21"/>
          <w:szCs w:val="21"/>
          <w:highlight w:val="white"/>
        </w:rPr>
      </w:pPr>
    </w:p>
    <w:p w14:paraId="0000004C"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したがって、文献１に記載された発明は、「液体流量調整弁」が、「パルス信号で弁開度を調整して前記噴霧装置側液体流路の前記液体の流量を制御するパルス駆動」であるか不明な点（相違点１Ａ）で、本願の請求項１に係る発明と相違するが、液体の流量調整弁をパルス駆動する構成は、本願出願前周知の技術である（例えば、文献４の段落[0003]-[0014]、文献５の段落[0023]を参照）。 </w:t>
      </w:r>
    </w:p>
    <w:p w14:paraId="0000004D" w14:textId="77777777" w:rsidR="004D5B86" w:rsidRDefault="004D5B86">
      <w:pPr>
        <w:widowControl w:val="0"/>
        <w:spacing w:line="240" w:lineRule="auto"/>
        <w:jc w:val="both"/>
        <w:rPr>
          <w:rFonts w:ascii="游明朝" w:eastAsia="游明朝" w:hAnsi="游明朝" w:cs="游明朝"/>
          <w:sz w:val="21"/>
          <w:szCs w:val="21"/>
          <w:highlight w:val="white"/>
        </w:rPr>
      </w:pPr>
    </w:p>
    <w:p w14:paraId="0000004E"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＜請求項２について＞ </w:t>
      </w:r>
    </w:p>
    <w:p w14:paraId="0000004F"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文献１に記載された発明は、上記検討済みの相違点１Ａに加えて、本願の請求項２に係る構成を有しているか不明な点で相違するが、当該構成は、本願出願前周知の技術である（例えば、文献４の段落[0016]、文献５の段落[0028]を参照）。 </w:t>
      </w:r>
    </w:p>
    <w:p w14:paraId="00000050" w14:textId="77777777" w:rsidR="004D5B86" w:rsidRDefault="004D5B86">
      <w:pPr>
        <w:widowControl w:val="0"/>
        <w:spacing w:line="240" w:lineRule="auto"/>
        <w:jc w:val="both"/>
        <w:rPr>
          <w:rFonts w:ascii="游明朝" w:eastAsia="游明朝" w:hAnsi="游明朝" w:cs="游明朝"/>
          <w:sz w:val="21"/>
          <w:szCs w:val="21"/>
          <w:highlight w:val="white"/>
        </w:rPr>
      </w:pPr>
    </w:p>
    <w:p w14:paraId="00000051"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＜請求項３について＞ </w:t>
      </w:r>
    </w:p>
    <w:p w14:paraId="00000052"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文献１に記載された発明は、上記検討済みの相違点１Ａに加えて、本願の請求項３に係る構成を有していない点で相違するが、文献１に記載された発明において、「制御部」で、「液体流量調整弁」の弁開度を水圧センサ１２により調整しているが（文献１の段落[0032]を参照）、流量計の検出した流量値により流量を調整することは、当業者の常套的手段であって、水圧センサ１２に代えて、流量計にて当該弁開度を調整するようにして、当該相違点に係る構成にすることは、当業者が容易になし得たことである。 </w:t>
      </w:r>
    </w:p>
    <w:p w14:paraId="00000053" w14:textId="77777777" w:rsidR="004D5B86" w:rsidRDefault="004D5B86">
      <w:pPr>
        <w:widowControl w:val="0"/>
        <w:spacing w:line="240" w:lineRule="auto"/>
        <w:jc w:val="both"/>
        <w:rPr>
          <w:rFonts w:ascii="游明朝" w:eastAsia="游明朝" w:hAnsi="游明朝" w:cs="游明朝"/>
          <w:sz w:val="21"/>
          <w:szCs w:val="21"/>
          <w:highlight w:val="white"/>
        </w:rPr>
      </w:pPr>
    </w:p>
    <w:p w14:paraId="00000054"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＜請求項４－８について＞ </w:t>
      </w:r>
    </w:p>
    <w:p w14:paraId="00000055"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文献１に記載された発明は、上記検討済みの相違点１Ａに加えて、本願の請求項４に係る構成、さらに、本願の請求項５－８に係る構成を有していない点で相違するが、文献１に記載された発明の「噴霧装置」の技術的思想をどのようなものに応用するかは、当業者が適宜になし得る設計的事項であり、また、演出機器に適用した際に、他の演出機器と連動して動作させることは、当業者にとって常套的手段であり、当業者の</w:t>
      </w:r>
      <w:r>
        <w:rPr>
          <w:rFonts w:ascii="游明朝" w:eastAsia="游明朝" w:hAnsi="游明朝" w:cs="游明朝"/>
          <w:sz w:val="21"/>
          <w:szCs w:val="21"/>
          <w:highlight w:val="white"/>
        </w:rPr>
        <w:lastRenderedPageBreak/>
        <w:t xml:space="preserve">通常の創作能力の発揮に過ぎない。また、そのようにすることに格別な困難性も認められない。 </w:t>
      </w:r>
    </w:p>
    <w:p w14:paraId="00000056" w14:textId="77777777" w:rsidR="004D5B86" w:rsidRDefault="004D5B86">
      <w:pPr>
        <w:widowControl w:val="0"/>
        <w:spacing w:line="240" w:lineRule="auto"/>
        <w:jc w:val="both"/>
        <w:rPr>
          <w:rFonts w:ascii="游明朝" w:eastAsia="游明朝" w:hAnsi="游明朝" w:cs="游明朝"/>
          <w:sz w:val="21"/>
          <w:szCs w:val="21"/>
          <w:highlight w:val="white"/>
        </w:rPr>
      </w:pPr>
    </w:p>
    <w:p w14:paraId="00000057" w14:textId="77777777" w:rsidR="004D5B86" w:rsidRDefault="00BE0CDA">
      <w:pPr>
        <w:widowControl w:val="0"/>
        <w:spacing w:line="240" w:lineRule="auto"/>
        <w:jc w:val="both"/>
        <w:rPr>
          <w:rFonts w:ascii="游明朝" w:eastAsia="游明朝" w:hAnsi="游明朝" w:cs="游明朝"/>
          <w:color w:val="0000FF"/>
          <w:sz w:val="21"/>
          <w:szCs w:val="21"/>
          <w:highlight w:val="white"/>
        </w:rPr>
      </w:pPr>
      <w:r>
        <w:rPr>
          <w:rFonts w:ascii="游明朝" w:eastAsia="游明朝" w:hAnsi="游明朝" w:cs="游明朝"/>
          <w:sz w:val="21"/>
          <w:szCs w:val="21"/>
          <w:highlight w:val="white"/>
        </w:rPr>
        <w:t xml:space="preserve">　</w:t>
      </w:r>
      <w:r>
        <w:rPr>
          <w:rFonts w:ascii="游明朝" w:eastAsia="游明朝" w:hAnsi="游明朝" w:cs="游明朝"/>
          <w:sz w:val="21"/>
          <w:szCs w:val="21"/>
          <w:highlight w:val="yellow"/>
        </w:rPr>
        <w:t xml:space="preserve">したがって、本願の請求項１－９に係る発明は、文献１に記載された発明、文献４－５が例示する周知技術に基づき、当業者が容易になし得たものである。 </w:t>
      </w:r>
    </w:p>
    <w:p w14:paraId="00000058"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イ．本願の請求項１４、１７に係る発明は、国際調査報告で引用された文献１、４－７により進歩性を有しない。 </w:t>
      </w:r>
    </w:p>
    <w:p w14:paraId="00000059" w14:textId="77777777" w:rsidR="004D5B86" w:rsidRDefault="004D5B86">
      <w:pPr>
        <w:widowControl w:val="0"/>
        <w:spacing w:line="240" w:lineRule="auto"/>
        <w:jc w:val="both"/>
        <w:rPr>
          <w:rFonts w:ascii="游明朝" w:eastAsia="游明朝" w:hAnsi="游明朝" w:cs="游明朝"/>
          <w:sz w:val="21"/>
          <w:szCs w:val="21"/>
          <w:highlight w:val="white"/>
        </w:rPr>
      </w:pPr>
    </w:p>
    <w:p w14:paraId="0000005A" w14:textId="77777777" w:rsidR="004D5B86" w:rsidRDefault="00BE0CDA">
      <w:pPr>
        <w:widowControl w:val="0"/>
        <w:spacing w:line="240" w:lineRule="auto"/>
        <w:jc w:val="both"/>
        <w:rPr>
          <w:rFonts w:ascii="游明朝" w:eastAsia="游明朝" w:hAnsi="游明朝" w:cs="游明朝"/>
          <w:sz w:val="21"/>
          <w:szCs w:val="21"/>
          <w:highlight w:val="white"/>
        </w:rPr>
      </w:pPr>
      <w:r>
        <w:rPr>
          <w:rFonts w:ascii="游明朝" w:eastAsia="游明朝" w:hAnsi="游明朝" w:cs="游明朝"/>
          <w:sz w:val="21"/>
          <w:szCs w:val="21"/>
          <w:highlight w:val="white"/>
        </w:rPr>
        <w:t xml:space="preserve">　文献１に記載された発明は、上記検討済みの相違点１Ａに加えて、本願の請求項１４、１７に係る発明特定事項を有していない点で相違するが、逆流による故障等の防止のために、液体の流路に逆止弁を備える構成・手法は、本願出願前周知の技術である（例えば、文献６の段落[0028]、文献７の段落[0014]を参照）。また、文献１に記載された発明に、文献６－７が例示する周知技術を適用する際に、逆止弁を、「噴霧装置側液体流路」のどこに設置するかは、仕様等に応じて、当業者が適宜に選択・調整し得る設計的事項であって、当業者の通常の創作能力の発揮に過ぎない。また、そのようにすることに格別な困難性も認められない。 </w:t>
      </w:r>
    </w:p>
    <w:p w14:paraId="0000005B"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white"/>
        </w:rPr>
        <w:t xml:space="preserve">　</w:t>
      </w:r>
      <w:r>
        <w:rPr>
          <w:rFonts w:ascii="游明朝" w:eastAsia="游明朝" w:hAnsi="游明朝" w:cs="游明朝"/>
          <w:sz w:val="21"/>
          <w:szCs w:val="21"/>
          <w:highlight w:val="yellow"/>
        </w:rPr>
        <w:t>したがって、本願の請求項１４、１７に係る発明は、文献１に記載された発明、文献４－５が例示する周知技術、文献６－７が例示する周知技術に基づき、当業者が容易になし得たものである。</w:t>
      </w:r>
    </w:p>
    <w:p w14:paraId="0000005C" w14:textId="77777777" w:rsidR="004D5B86" w:rsidRDefault="004D5B86">
      <w:pPr>
        <w:widowControl w:val="0"/>
        <w:spacing w:line="240" w:lineRule="auto"/>
        <w:jc w:val="both"/>
        <w:rPr>
          <w:rFonts w:ascii="游明朝" w:eastAsia="游明朝" w:hAnsi="游明朝" w:cs="游明朝"/>
          <w:color w:val="0000FF"/>
          <w:sz w:val="21"/>
          <w:szCs w:val="21"/>
          <w:highlight w:val="white"/>
        </w:rPr>
      </w:pPr>
    </w:p>
    <w:p w14:paraId="0000005E" w14:textId="54632ECB" w:rsidR="00795FD2" w:rsidRDefault="00795FD2">
      <w:pPr>
        <w:rPr>
          <w:rFonts w:ascii="游明朝" w:eastAsia="游明朝" w:hAnsi="游明朝" w:cs="游明朝"/>
          <w:sz w:val="21"/>
          <w:szCs w:val="21"/>
          <w:highlight w:val="white"/>
        </w:rPr>
      </w:pPr>
      <w:r>
        <w:rPr>
          <w:rFonts w:ascii="游明朝" w:eastAsia="游明朝" w:hAnsi="游明朝" w:cs="游明朝"/>
          <w:sz w:val="21"/>
          <w:szCs w:val="21"/>
          <w:highlight w:val="white"/>
        </w:rPr>
        <w:br w:type="page"/>
      </w:r>
    </w:p>
    <w:p w14:paraId="0000005F" w14:textId="77777777" w:rsidR="004D5B86" w:rsidRDefault="00BE0CDA">
      <w:pPr>
        <w:widowControl w:val="0"/>
        <w:spacing w:line="240" w:lineRule="auto"/>
        <w:jc w:val="both"/>
        <w:rPr>
          <w:rFonts w:ascii="游明朝" w:eastAsia="游明朝" w:hAnsi="游明朝" w:cs="游明朝"/>
          <w:b/>
          <w:sz w:val="25"/>
          <w:szCs w:val="25"/>
          <w:highlight w:val="white"/>
          <w:u w:val="single"/>
        </w:rPr>
      </w:pPr>
      <w:r>
        <w:rPr>
          <w:rFonts w:ascii="游明朝" w:eastAsia="游明朝" w:hAnsi="游明朝" w:cs="游明朝"/>
          <w:b/>
          <w:sz w:val="25"/>
          <w:szCs w:val="25"/>
          <w:highlight w:val="white"/>
          <w:u w:val="single"/>
        </w:rPr>
        <w:lastRenderedPageBreak/>
        <w:t>②技術および言語の観点から</w:t>
      </w:r>
    </w:p>
    <w:p w14:paraId="00000060" w14:textId="77777777" w:rsidR="004D5B86" w:rsidRDefault="004D5B86">
      <w:pPr>
        <w:widowControl w:val="0"/>
        <w:spacing w:line="240" w:lineRule="auto"/>
        <w:jc w:val="both"/>
        <w:rPr>
          <w:rFonts w:ascii="游明朝" w:eastAsia="游明朝" w:hAnsi="游明朝" w:cs="游明朝"/>
          <w:sz w:val="21"/>
          <w:szCs w:val="21"/>
          <w:highlight w:val="white"/>
        </w:rPr>
      </w:pPr>
    </w:p>
    <w:p w14:paraId="00000061" w14:textId="77777777" w:rsidR="004D5B86" w:rsidRDefault="00BE0CDA">
      <w:pPr>
        <w:widowControl w:val="0"/>
        <w:spacing w:line="240" w:lineRule="auto"/>
        <w:jc w:val="both"/>
        <w:rPr>
          <w:rFonts w:ascii="游明朝" w:eastAsia="游明朝" w:hAnsi="游明朝" w:cs="游明朝"/>
          <w:b/>
          <w:sz w:val="21"/>
          <w:szCs w:val="21"/>
          <w:highlight w:val="white"/>
        </w:rPr>
      </w:pPr>
      <w:r>
        <w:rPr>
          <w:rFonts w:ascii="游明朝" w:eastAsia="游明朝" w:hAnsi="游明朝" w:cs="游明朝"/>
          <w:b/>
          <w:sz w:val="21"/>
          <w:szCs w:val="21"/>
          <w:highlight w:val="white"/>
        </w:rPr>
        <w:t>【課題５】</w:t>
      </w:r>
    </w:p>
    <w:p w14:paraId="00000062" w14:textId="77777777" w:rsidR="004D5B86" w:rsidRDefault="004D5B86">
      <w:pPr>
        <w:widowControl w:val="0"/>
        <w:spacing w:line="240" w:lineRule="auto"/>
        <w:jc w:val="both"/>
        <w:rPr>
          <w:rFonts w:ascii="游明朝" w:eastAsia="游明朝" w:hAnsi="游明朝" w:cs="游明朝"/>
          <w:sz w:val="21"/>
          <w:szCs w:val="21"/>
          <w:highlight w:val="white"/>
        </w:rPr>
      </w:pPr>
    </w:p>
    <w:p w14:paraId="00000063"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エクササイズ挙動分析装置において、入力部は、走行する動物の挙動状態を示す複数種の挙動パラメータに対応する挙動データと、走行における動物の運動パフォーマンスを示す指標パラメータに対応する指標データと、を入力する。推算部は、複数種の挙動パラメータのうちいずれが動物にとって運動パフォーマンス向上への寄与度がより高いかを推算する。記憶部は、複数種の着用具の情報を記憶する。複数種の着用具ごとに複数種の挙動パラメータのうちいずれを変化させて運動パフォーマンス向上に寄与するかの特性が定められた着用具特性データに基づき、推算部により推算された種の挙動パラメータを変化させることによって運動パフォーマンス向上に寄与する特性を持つ着用具を選択部が選択する。出力部は、動物に着用を推薦する着用具として選択された着用具の種を出力する。</w:t>
      </w:r>
    </w:p>
    <w:p w14:paraId="00000064" w14:textId="77777777" w:rsidR="004D5B86" w:rsidRDefault="004D5B86">
      <w:pPr>
        <w:widowControl w:val="0"/>
        <w:spacing w:line="240" w:lineRule="auto"/>
        <w:jc w:val="both"/>
        <w:rPr>
          <w:rFonts w:ascii="游明朝" w:eastAsia="游明朝" w:hAnsi="游明朝" w:cs="游明朝"/>
          <w:sz w:val="21"/>
          <w:szCs w:val="21"/>
          <w:highlight w:val="yellow"/>
        </w:rPr>
      </w:pPr>
    </w:p>
    <w:p w14:paraId="00000065" w14:textId="77777777" w:rsidR="004D5B86" w:rsidRDefault="004D5B86">
      <w:pPr>
        <w:widowControl w:val="0"/>
        <w:spacing w:line="240" w:lineRule="auto"/>
        <w:jc w:val="both"/>
        <w:rPr>
          <w:rFonts w:ascii="游明朝" w:eastAsia="游明朝" w:hAnsi="游明朝" w:cs="游明朝"/>
          <w:b/>
          <w:sz w:val="21"/>
          <w:szCs w:val="21"/>
        </w:rPr>
      </w:pPr>
    </w:p>
    <w:p w14:paraId="00000066"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b/>
          <w:sz w:val="21"/>
          <w:szCs w:val="21"/>
        </w:rPr>
        <w:t>【課題６】</w:t>
      </w:r>
    </w:p>
    <w:p w14:paraId="00000067" w14:textId="77777777" w:rsidR="004D5B86" w:rsidRDefault="00BE0CDA">
      <w:pPr>
        <w:widowControl w:val="0"/>
        <w:spacing w:line="240" w:lineRule="auto"/>
        <w:jc w:val="both"/>
        <w:rPr>
          <w:rFonts w:ascii="游明朝" w:eastAsia="游明朝" w:hAnsi="游明朝" w:cs="游明朝"/>
          <w:sz w:val="21"/>
          <w:szCs w:val="21"/>
        </w:rPr>
      </w:pPr>
      <w:r>
        <w:rPr>
          <w:rFonts w:ascii="游明朝" w:eastAsia="游明朝" w:hAnsi="游明朝" w:cs="游明朝"/>
          <w:sz w:val="21"/>
          <w:szCs w:val="21"/>
        </w:rPr>
        <w:t>PCT/JP2020/003338</w:t>
      </w:r>
    </w:p>
    <w:p w14:paraId="00000068" w14:textId="77777777" w:rsidR="004D5B86" w:rsidRDefault="004D5B86">
      <w:pPr>
        <w:widowControl w:val="0"/>
        <w:spacing w:line="240" w:lineRule="auto"/>
        <w:jc w:val="both"/>
        <w:rPr>
          <w:rFonts w:ascii="游明朝" w:eastAsia="游明朝" w:hAnsi="游明朝" w:cs="游明朝"/>
          <w:sz w:val="21"/>
          <w:szCs w:val="21"/>
        </w:rPr>
      </w:pPr>
    </w:p>
    <w:p w14:paraId="00000069"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複数の音響領域のいずれかに属する少なくとも３つの座席を有する自動車内において座席間で行われる会話の品質を評価する評価方法であって、</w:t>
      </w:r>
    </w:p>
    <w:p w14:paraId="0000006A"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前記音響領域ごとに少なくとも１個のスピーカと１個のマイクロホンとが配置され、</w:t>
      </w:r>
    </w:p>
    <w:p w14:paraId="0000006B"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第一の音響領域に配置された第一のマイクロホンにより収音された音声信号が第二の音響領域に配置された第二のスピーカから放音され、</w:t>
      </w:r>
    </w:p>
    <w:p w14:paraId="0000006C"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第一評価値取得部が、前記第一の音響領域に属する第一の座席の音源から発せられた第一音声信号が前記第一のマイクロホンにより収音され前記第二のスピーカから放音された音声信号と、前記第一音声信号が前記自動車内の空間を伝達して前記第二の音響領域に属する第二の座席に到来した音声信号とを加算した音声信号を評価対象音とし、前記第一音声信号を基準音として、前記第一の座席と前記第二の座席の間で行われる会話の評価値である第一評価値を取得し、</w:t>
      </w:r>
    </w:p>
    <w:p w14:paraId="0000006D"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第二評価値取得部が、前記第一の座席と前記第二の座席の間を除く前記第一の音響領域に属するいずれかの座席と前記第二の音響領域に属するいずれかの座席の間で行われる会話の評価値として前記第一評価値を取得する、</w:t>
      </w:r>
    </w:p>
    <w:p w14:paraId="0000006E" w14:textId="77777777" w:rsidR="004D5B86" w:rsidRDefault="00BE0CDA">
      <w:pPr>
        <w:widowControl w:val="0"/>
        <w:spacing w:line="240" w:lineRule="auto"/>
        <w:jc w:val="both"/>
        <w:rPr>
          <w:rFonts w:ascii="游明朝" w:eastAsia="游明朝" w:hAnsi="游明朝" w:cs="游明朝"/>
          <w:sz w:val="21"/>
          <w:szCs w:val="21"/>
          <w:highlight w:val="yellow"/>
        </w:rPr>
      </w:pPr>
      <w:r>
        <w:rPr>
          <w:rFonts w:ascii="游明朝" w:eastAsia="游明朝" w:hAnsi="游明朝" w:cs="游明朝"/>
          <w:sz w:val="21"/>
          <w:szCs w:val="21"/>
          <w:highlight w:val="yellow"/>
        </w:rPr>
        <w:t xml:space="preserve">　評価方法。</w:t>
      </w:r>
    </w:p>
    <w:sectPr w:rsidR="004D5B86">
      <w:footerReference w:type="default" r:id="rId6"/>
      <w:pgSz w:w="11909" w:h="16834"/>
      <w:pgMar w:top="566" w:right="850" w:bottom="542"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67DB" w14:textId="77777777" w:rsidR="00BE0CDA" w:rsidRDefault="00BE0CDA">
      <w:pPr>
        <w:spacing w:line="240" w:lineRule="auto"/>
      </w:pPr>
      <w:r>
        <w:separator/>
      </w:r>
    </w:p>
  </w:endnote>
  <w:endnote w:type="continuationSeparator" w:id="0">
    <w:p w14:paraId="46EBDFB6" w14:textId="77777777" w:rsidR="00BE0CDA" w:rsidRDefault="00BE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3BB9C118" w:rsidR="004D5B86" w:rsidRDefault="00BE0CDA">
    <w:pPr>
      <w:jc w:val="right"/>
    </w:pPr>
    <w:r>
      <w:fldChar w:fldCharType="begin"/>
    </w:r>
    <w:r>
      <w:instrText>PAGE</w:instrText>
    </w:r>
    <w:r>
      <w:fldChar w:fldCharType="separate"/>
    </w:r>
    <w:r w:rsidR="00795F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D1EE" w14:textId="77777777" w:rsidR="00BE0CDA" w:rsidRDefault="00BE0CDA">
      <w:pPr>
        <w:spacing w:line="240" w:lineRule="auto"/>
      </w:pPr>
      <w:r>
        <w:separator/>
      </w:r>
    </w:p>
  </w:footnote>
  <w:footnote w:type="continuationSeparator" w:id="0">
    <w:p w14:paraId="3094B449" w14:textId="77777777" w:rsidR="00BE0CDA" w:rsidRDefault="00BE0C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86"/>
    <w:rsid w:val="004D5B86"/>
    <w:rsid w:val="007743B2"/>
    <w:rsid w:val="00795FD2"/>
    <w:rsid w:val="00BE0CDA"/>
    <w:rsid w:val="00C7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19A6C"/>
  <w15:docId w15:val="{E219067B-AB26-40C2-B30D-9F92CC75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character" w:styleId="a5">
    <w:name w:val="Hyperlink"/>
    <w:basedOn w:val="a0"/>
    <w:uiPriority w:val="99"/>
    <w:unhideWhenUsed/>
    <w:rsid w:val="007743B2"/>
    <w:rPr>
      <w:color w:val="0000FF" w:themeColor="hyperlink"/>
      <w:u w:val="single"/>
    </w:rPr>
  </w:style>
  <w:style w:type="character" w:styleId="a6">
    <w:name w:val="Unresolved Mention"/>
    <w:basedOn w:val="a0"/>
    <w:uiPriority w:val="99"/>
    <w:semiHidden/>
    <w:unhideWhenUsed/>
    <w:rsid w:val="007743B2"/>
    <w:rPr>
      <w:color w:val="605E5C"/>
      <w:shd w:val="clear" w:color="auto" w:fill="E1DFDD"/>
    </w:rPr>
  </w:style>
  <w:style w:type="paragraph" w:styleId="a7">
    <w:name w:val="header"/>
    <w:basedOn w:val="a"/>
    <w:link w:val="a8"/>
    <w:uiPriority w:val="99"/>
    <w:unhideWhenUsed/>
    <w:rsid w:val="00C706D3"/>
    <w:pPr>
      <w:tabs>
        <w:tab w:val="center" w:pos="4252"/>
        <w:tab w:val="right" w:pos="8504"/>
      </w:tabs>
      <w:snapToGrid w:val="0"/>
    </w:pPr>
  </w:style>
  <w:style w:type="character" w:customStyle="1" w:styleId="a8">
    <w:name w:val="ヘッダー (文字)"/>
    <w:basedOn w:val="a0"/>
    <w:link w:val="a7"/>
    <w:uiPriority w:val="99"/>
    <w:rsid w:val="00C706D3"/>
  </w:style>
  <w:style w:type="paragraph" w:styleId="a9">
    <w:name w:val="footer"/>
    <w:basedOn w:val="a"/>
    <w:link w:val="aa"/>
    <w:uiPriority w:val="99"/>
    <w:unhideWhenUsed/>
    <w:rsid w:val="00C706D3"/>
    <w:pPr>
      <w:tabs>
        <w:tab w:val="center" w:pos="4252"/>
        <w:tab w:val="right" w:pos="8504"/>
      </w:tabs>
      <w:snapToGrid w:val="0"/>
    </w:pPr>
  </w:style>
  <w:style w:type="character" w:customStyle="1" w:styleId="aa">
    <w:name w:val="フッター (文字)"/>
    <w:basedOn w:val="a0"/>
    <w:link w:val="a9"/>
    <w:uiPriority w:val="99"/>
    <w:rsid w:val="00C7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赤井 寛子</cp:lastModifiedBy>
  <cp:revision>4</cp:revision>
  <dcterms:created xsi:type="dcterms:W3CDTF">2022-07-29T05:27:00Z</dcterms:created>
  <dcterms:modified xsi:type="dcterms:W3CDTF">2022-08-03T09:18:00Z</dcterms:modified>
</cp:coreProperties>
</file>